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Reymond Pamelar</w:t>
      </w:r>
    </w:p>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9/8/13</w:t>
      </w:r>
    </w:p>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APES</w:t>
      </w:r>
    </w:p>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Per. 1</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8"/>
          <w:u w:val="single"/>
          <w:rtl w:val="0"/>
        </w:rPr>
        <w:t xml:space="preserve">Compare and Contrast: Easter island Vs The Lorax</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Effects created from pollution will always conclude is a negative way. The importance of environmental care is show from the short film based on a story by Dr. Seuss, “The Lorax”, and the reading written by Jared Diamond, “Easter’s End”. The Lorax displays a world through a fictional story of how an industry corrupts the environment through the pollution created from a product made from trees. Easter’s End shows how the end of an ancient people were decided through the over-usage of resources. Though similarities could easily pointed out, both of the pieces, both have differences also involving their environmental issues which can relate to our world.</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The Similarities are very obvious between the two, as for one of them being that they both have environmental issues. The largest similarity would probably be how they both revolve around a majority of trees. The dependence of the trees, involved in both stories, is what starts the chain of later events such as the loss of even greater resources also presented in each story. Another similarity would be the unpresented help from the character's history to guide them to their destruction.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Differences were a bit more difficult to find. For one difference, the trees were used differently by the characters in each story. In the Lorax, the antagonist used the trees as a product sold for money. The polynesians presented in Easter’s End, used the trees as a resource to construct tools needed to later construct an item for a local competition. Tree distribution also differed in each story. The Lorax had no one to forcibly limit the antagonist from the trees. As for the people in Easter’s End, which had an establish government to distribute the resource.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Through both stories, the author’s both somehow related the stories to our modern world filled with environmental disaster. Starting with the Lorax, the relation is presented through deforestation and the pollution of smog and waste. Easter’s End displays this through how the group of people over-used the abundant amount of trees. Their over-usage had them resort to destroying other resources. Each example from each story shows us how bad our world is becoming from the treatment us humans.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The short film, “The Lorax” and the article titled, “Easter’s End” compare and contrast in a very unique way. Though both differ in the events throughout each story, each conclusion end in a similar war. Both authors also aimed to establish the same lesson. This lesson is that though the each may seem abundant, it will all run out one day. To stop this fate, we must immediately start to care for it now.</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Lorax Vs Easter's End.docx</dc:title>
</cp:coreProperties>
</file>